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3C" w:rsidRPr="00AF7E3C" w:rsidRDefault="00AF7E3C" w:rsidP="00AF7E3C">
      <w:pPr>
        <w:shd w:val="clear" w:color="auto" w:fill="FFFFFF"/>
        <w:spacing w:after="100" w:afterAutospacing="1" w:line="240" w:lineRule="auto"/>
        <w:jc w:val="center"/>
        <w:outlineLvl w:val="1"/>
        <w:rPr>
          <w:rFonts w:eastAsia="Times New Roman" w:cstheme="minorHAnsi"/>
          <w:b/>
          <w:color w:val="333F48"/>
          <w:sz w:val="32"/>
          <w:szCs w:val="32"/>
          <w:lang w:eastAsia="ru-RU"/>
        </w:rPr>
      </w:pPr>
      <w:r w:rsidRPr="00AF7E3C">
        <w:rPr>
          <w:rFonts w:eastAsia="Times New Roman" w:cstheme="minorHAnsi"/>
          <w:b/>
          <w:color w:val="333F48"/>
          <w:sz w:val="32"/>
          <w:szCs w:val="32"/>
          <w:lang w:eastAsia="ru-RU"/>
        </w:rPr>
        <w:t>Инструкция по применению</w:t>
      </w:r>
    </w:p>
    <w:p w:rsidR="00AF7E3C" w:rsidRPr="00AF7E3C" w:rsidRDefault="00AF7E3C" w:rsidP="00AF7E3C">
      <w:pPr>
        <w:shd w:val="clear" w:color="auto" w:fill="FFFFFF"/>
        <w:spacing w:after="0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 </w:t>
      </w:r>
    </w:p>
    <w:p w:rsid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bookmarkStart w:id="0" w:name="_GoBack"/>
      <w:bookmarkEnd w:id="0"/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Производитель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hyperlink r:id="rId5" w:history="1"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Доппель</w:t>
        </w:r>
        <w:proofErr w:type="spellEnd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Фармацеутици</w:t>
        </w:r>
        <w:proofErr w:type="spellEnd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, Италия</w:t>
        </w:r>
      </w:hyperlink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Состав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i/>
          <w:iCs/>
          <w:color w:val="333F48"/>
          <w:sz w:val="24"/>
          <w:szCs w:val="24"/>
          <w:lang w:eastAsia="ru-RU"/>
        </w:rPr>
        <w:t>Действующее вещество: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нифурател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200 мг;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i/>
          <w:iCs/>
          <w:color w:val="333F48"/>
          <w:sz w:val="24"/>
          <w:szCs w:val="24"/>
          <w:lang w:eastAsia="ru-RU"/>
        </w:rPr>
        <w:t>Вспомогательные ингредиенты: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крахмал;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полиэтиленгликоль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6000;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тальк;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стеарат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магния;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желатин;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гуммиарабик;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сахароза;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карбонат магния;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диоксид титана;</w:t>
      </w:r>
    </w:p>
    <w:p w:rsidR="00AF7E3C" w:rsidRPr="00AF7E3C" w:rsidRDefault="00AF7E3C" w:rsidP="00AF7E3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Е воск;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Фармакологическое действие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Макмирор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- противомикробное,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противопротозойное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 противогрибковое.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b/>
          <w:bCs/>
          <w:color w:val="333F48"/>
          <w:sz w:val="24"/>
          <w:szCs w:val="24"/>
          <w:lang w:eastAsia="ru-RU"/>
        </w:rPr>
        <w:t>Фармакодинамика</w:t>
      </w:r>
      <w:proofErr w:type="spellEnd"/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Нифурател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противомикробное средство из группы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нитрофуранов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; оказывает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противопротозойное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 противогрибковое и антибактериальное действие.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Нифурател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обладает высокой эффективностью и низкой токсичностью, что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обуcловливает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широкий спектр его клинического применения.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Высокоэффективен в отношении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Papiliobacter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 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Helicobacter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pylori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грамположительных и грамотрицательных микроорганизмов: при минимальной подавляющей концентрации (МПК) 12,5 –25 мкг/мл подавляет от 44,3 до 93,2% культур.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Проявляет высокую активность как в отношении аэробных, так и в отношении анаэробных возбудителей.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Спектр действия включает: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Enterococcus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faecalis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Enterococcus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faecium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Staphylococcus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aureus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Bacillus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subtilis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Escherichia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coli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Shigella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flexneri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2a,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Shigella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flexneri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6,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Shigella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sonnei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Salmonella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typhi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Salmonella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typhimurium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Salmonella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enteritidis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Klebsiella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Enterobacter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sph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Serratia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Citrobacter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Morganella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Rettgerella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Pragia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fontium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Budvicia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aquatica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Rachnella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aquatilis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 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Acinetobacter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spp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., прочие атипичные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энтеробактерии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а </w:t>
      </w: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lastRenderedPageBreak/>
        <w:t>также простейшие (амебы, лямблии); менее активен в отношении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Proteus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mirabilis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Proteus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vulgaris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Pseudomonas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aeruginosa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Является препаратом выбора для терапии сальмонеллезов,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шигеллезов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и др. кишечных бактериальных инфекций.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Активен в отношении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Trichomonas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vaginalis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высокоактивен в отношении грибов рода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Candida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Особенно эффективен в отношении штаммов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Helicobacter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pylori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, устойчивых к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метронидазолу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Получены данные, свидетельствующие о высокой активности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нифуратела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(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in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vitro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 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in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vivo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) в отношении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Atopobium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vaginae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 — основного маркера бактериального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вагиноза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b/>
          <w:bCs/>
          <w:color w:val="333F48"/>
          <w:sz w:val="24"/>
          <w:szCs w:val="24"/>
          <w:lang w:eastAsia="ru-RU"/>
        </w:rPr>
        <w:t>Фармакокинетика</w:t>
      </w:r>
      <w:proofErr w:type="spellEnd"/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При приеме внутрь быстро абсорбируется из ЖКТ. Проникает через ГЭБ и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гематоплацентарный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барьер, выделяется с грудным молоком.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Метаболизируется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в печени и мышечной ткани. Полностью выводится из организма почками (30–50% — в неизмененном виде), оказывая сильное антибактериальное действие в мочевыводящем тракте.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Показания</w:t>
      </w:r>
    </w:p>
    <w:p w:rsidR="00AF7E3C" w:rsidRPr="00AF7E3C" w:rsidRDefault="00AF7E3C" w:rsidP="00AF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вульвовагинальные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инфекции, вызванные чувствительными к препарату возбудителями (патогенные микроорганизмы,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кандида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 трихомонады, бактерии, хламидии);</w:t>
      </w:r>
    </w:p>
    <w:p w:rsidR="00AF7E3C" w:rsidRPr="00AF7E3C" w:rsidRDefault="00AF7E3C" w:rsidP="00AF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хронические воспалительные заболевания верхних отделов ЖКТ, ассоциированные с 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Helicobacter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pylori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 (хронический гастрит, язвенная болезнь желудка и двенадцатиперстной кишки,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гастроэзофагеальная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рефлюксная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болезнь);</w:t>
      </w:r>
    </w:p>
    <w:p w:rsidR="00AF7E3C" w:rsidRPr="00AF7E3C" w:rsidRDefault="00AF7E3C" w:rsidP="00AF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кишечный амебиаз и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лямблиоз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;</w:t>
      </w:r>
    </w:p>
    <w:p w:rsidR="00AF7E3C" w:rsidRPr="00AF7E3C" w:rsidRDefault="00AF7E3C" w:rsidP="00AF7E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пиелонефрит, уретрит, цистит, пиелит и другие заболевания мочевыводящей системы.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Противопоказания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Гиперчувствительность к активному веществу или какому-либо компоненту препарата.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Побочные действия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Диспептические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расстройства: тошнота, рвота, горечь во рту, диарея, изжога,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гастралгия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 Аллергические реакции: кожная сыпь, зуд.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Взаимодействие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Усиливает противогрибковое действие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нистатина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Как принимать, курс приема и дозировка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lastRenderedPageBreak/>
        <w:t>Препарат принимают внутрь, следуя рекомендациям.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При вагинальных инфекциях: взрослым — по 1 таблетке 3 раза в день после еды в течение 7 дней (принимать препарат должны оба половых партнера); детям рекомендуемая доза — по 10 мг/кг массы тела 2 раза в день в течение 10 дней.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Инфекции ЖКТ, ассоциированные с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Helicobacter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pylori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: взрослым — по 2 таблетке 2 раза в день в течение 7 дней; детям рекомендуемая доза — по 15 мг/кг массы тела 2 раза в день в течение 7 дней. Длительность курса может меняться в зависимости от выбранной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эрадикационной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схемы.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При кишечном амебиазе: взрослым — по 2 таблетке 2–3 раза в день в течение 10 дней; детям — по 10 мг/кг массы тела 3 раза в день. Курс лечения — 7–10 дней.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При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лямблиозе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: взрослым — по 2 табл. 2–3 раза в день в течение 7 дней; детям — по 15 мг/кг массы тела 2 раза в день в течение 7 дней.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При инфекциях мочевыводящих путей: взрослым, в зависимости от тяжести течения заболевания, — 3–6 таблеток ежедневно в течение 7–14 дней; детям рекомендуемая доза — по 15–30 мг/кг массы тела 2 раза в день в течение 7–14 дней. По рекомендации врача курс лечения инфекций мочевыводящих путей может быть продлен или повторен.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Специальные указания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При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монотерапии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вагинальных инфекций препаратом </w:t>
      </w:r>
      <w:proofErr w:type="spellStart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Макмирор</w:t>
      </w:r>
      <w:proofErr w:type="spellEnd"/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 xml:space="preserve"> рекомендуется увеличить дневную дозировку до 4–6 табл. В период лечения следует воздерживаться от половых контактов.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Влияние на способность управлять автомобилем или другими механизмами: какого-либо отрицательного действия не выявлено.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Форма выпуска</w:t>
      </w:r>
    </w:p>
    <w:p w:rsidR="00AF7E3C" w:rsidRPr="00AF7E3C" w:rsidRDefault="00AF7E3C" w:rsidP="00AF7E3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таблетки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Условия хранения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 защищенном от света месте, при температуре не выше 25 °C.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Срок годности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5 лет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Действующее вещество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hyperlink r:id="rId6" w:history="1"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Нифурател</w:t>
        </w:r>
        <w:proofErr w:type="spellEnd"/>
      </w:hyperlink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lastRenderedPageBreak/>
        <w:t>Условия отпуска из аптек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По рецепту</w:t>
      </w:r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Лекарственная форма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hyperlink r:id="rId7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таблетки</w:t>
        </w:r>
      </w:hyperlink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Назначение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hyperlink r:id="rId8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Для детей</w:t>
        </w:r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9" w:history="1">
        <w:proofErr w:type="gram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Для</w:t>
        </w:r>
        <w:proofErr w:type="gramEnd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 xml:space="preserve"> взрослых</w:t>
        </w:r>
      </w:hyperlink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Показания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hyperlink r:id="rId10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Вагинит</w:t>
        </w:r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11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 xml:space="preserve">Амебиаз и </w:t>
        </w:r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лямблиоз</w:t>
        </w:r>
        <w:proofErr w:type="spellEnd"/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12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Воспаление женских половых органов</w:t>
        </w:r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13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Молочница</w:t>
        </w:r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14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Грибок</w:t>
        </w:r>
      </w:hyperlink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, </w:t>
      </w:r>
      <w:hyperlink r:id="rId15" w:history="1"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 xml:space="preserve">Инфекции ЖКТ, вызванные </w:t>
        </w:r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Хеликобактер</w:t>
        </w:r>
        <w:proofErr w:type="spellEnd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F7E3C">
          <w:rPr>
            <w:rFonts w:eastAsia="Times New Roman" w:cstheme="minorHAnsi"/>
            <w:color w:val="333F48"/>
            <w:sz w:val="24"/>
            <w:szCs w:val="24"/>
            <w:u w:val="single"/>
            <w:lang w:eastAsia="ru-RU"/>
          </w:rPr>
          <w:t>пилори</w:t>
        </w:r>
        <w:proofErr w:type="spellEnd"/>
      </w:hyperlink>
    </w:p>
    <w:p w:rsidR="00AF7E3C" w:rsidRPr="00AF7E3C" w:rsidRDefault="00AF7E3C" w:rsidP="00AF7E3C">
      <w:pPr>
        <w:shd w:val="clear" w:color="auto" w:fill="FFFFFF"/>
        <w:spacing w:after="100" w:afterAutospacing="1" w:line="240" w:lineRule="auto"/>
        <w:outlineLvl w:val="2"/>
        <w:rPr>
          <w:rFonts w:eastAsia="Times New Roman" w:cstheme="minorHAnsi"/>
          <w:b/>
          <w:color w:val="333F48"/>
          <w:sz w:val="28"/>
          <w:szCs w:val="28"/>
          <w:lang w:eastAsia="ru-RU"/>
        </w:rPr>
      </w:pPr>
      <w:r w:rsidRPr="00AF7E3C">
        <w:rPr>
          <w:rFonts w:eastAsia="Times New Roman" w:cstheme="minorHAnsi"/>
          <w:b/>
          <w:color w:val="333F48"/>
          <w:sz w:val="28"/>
          <w:szCs w:val="28"/>
          <w:lang w:eastAsia="ru-RU"/>
        </w:rPr>
        <w:t>Штрих-код и вес</w:t>
      </w:r>
    </w:p>
    <w:p w:rsidR="00AF7E3C" w:rsidRPr="00AF7E3C" w:rsidRDefault="00AF7E3C" w:rsidP="00AF7E3C">
      <w:pPr>
        <w:shd w:val="clear" w:color="auto" w:fill="FFFFFF"/>
        <w:spacing w:after="0"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Штрих-код: 7612729000013</w:t>
      </w:r>
    </w:p>
    <w:p w:rsidR="00AF7E3C" w:rsidRPr="00AF7E3C" w:rsidRDefault="00AF7E3C" w:rsidP="00AF7E3C">
      <w:pPr>
        <w:shd w:val="clear" w:color="auto" w:fill="FFFFFF"/>
        <w:spacing w:line="240" w:lineRule="auto"/>
        <w:rPr>
          <w:rFonts w:eastAsia="Times New Roman" w:cstheme="minorHAnsi"/>
          <w:color w:val="333F48"/>
          <w:sz w:val="24"/>
          <w:szCs w:val="24"/>
          <w:lang w:eastAsia="ru-RU"/>
        </w:rPr>
      </w:pPr>
      <w:r w:rsidRPr="00AF7E3C">
        <w:rPr>
          <w:rFonts w:eastAsia="Times New Roman" w:cstheme="minorHAnsi"/>
          <w:color w:val="333F48"/>
          <w:sz w:val="24"/>
          <w:szCs w:val="24"/>
          <w:lang w:eastAsia="ru-RU"/>
        </w:rPr>
        <w:t>Вес: 0.022 кг;</w:t>
      </w:r>
    </w:p>
    <w:p w:rsidR="0019756D" w:rsidRPr="00AF7E3C" w:rsidRDefault="0019756D" w:rsidP="00AF7E3C">
      <w:pPr>
        <w:spacing w:line="240" w:lineRule="auto"/>
        <w:rPr>
          <w:rFonts w:cstheme="minorHAnsi"/>
        </w:rPr>
      </w:pPr>
    </w:p>
    <w:sectPr w:rsidR="0019756D" w:rsidRPr="00AF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07D2"/>
    <w:multiLevelType w:val="multilevel"/>
    <w:tmpl w:val="84C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46422"/>
    <w:multiLevelType w:val="hybridMultilevel"/>
    <w:tmpl w:val="827E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5046"/>
    <w:multiLevelType w:val="multilevel"/>
    <w:tmpl w:val="9B5C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C"/>
    <w:rsid w:val="0019756D"/>
    <w:rsid w:val="00A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D3E8A-C66C-4EC8-94BF-495C676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7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7E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5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8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8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958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9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577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6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9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11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61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1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3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5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63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pteka.ru/goods/drugs/trichomonias/other/?appointment=dlya_detey" TargetMode="External"/><Relationship Id="rId13" Type="http://schemas.openxmlformats.org/officeDocument/2006/relationships/hyperlink" Target="https://www.eapteka.ru/goods/drugs/trichomonias/other/?indications=molochnit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apteka.ru/goods/drugs/trichomonias/other/?drug_form=tabletki" TargetMode="External"/><Relationship Id="rId12" Type="http://schemas.openxmlformats.org/officeDocument/2006/relationships/hyperlink" Target="https://www.eapteka.ru/goods/drugs/trichomonias/other/?indications=vospalenie_zhenskikh_polovykh_organ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eapteka.ru/goods/active_ingredient/nifuratel/" TargetMode="External"/><Relationship Id="rId11" Type="http://schemas.openxmlformats.org/officeDocument/2006/relationships/hyperlink" Target="https://www.eapteka.ru/goods/drugs/trichomonias/other/?indications=amebiaz_i_lyamblioz" TargetMode="External"/><Relationship Id="rId5" Type="http://schemas.openxmlformats.org/officeDocument/2006/relationships/hyperlink" Target="https://www.eapteka.ru/goods/manufacturer/doppel_farmatseutitsi/" TargetMode="External"/><Relationship Id="rId15" Type="http://schemas.openxmlformats.org/officeDocument/2006/relationships/hyperlink" Target="https://www.eapteka.ru/goods/drugs/trichomonias/other/?indications=infektsii_zhkt_vyzvannye_khelikobakter_pilori" TargetMode="External"/><Relationship Id="rId10" Type="http://schemas.openxmlformats.org/officeDocument/2006/relationships/hyperlink" Target="https://www.eapteka.ru/goods/drugs/trichomonias/other/?indications=vagin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pteka.ru/goods/drugs/trichomonias/other/?appointment=dlya_vzroslykh" TargetMode="External"/><Relationship Id="rId14" Type="http://schemas.openxmlformats.org/officeDocument/2006/relationships/hyperlink" Target="https://www.eapteka.ru/goods/drugs/trichomonias/other/?indications=grib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2021-02-20T07:28:00Z</dcterms:created>
  <dcterms:modified xsi:type="dcterms:W3CDTF">2021-02-20T07:31:00Z</dcterms:modified>
</cp:coreProperties>
</file>